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436" w:tblpY="1881"/>
        <w:tblOverlap w:val="never"/>
        <w:tblW w:w="9751" w:type="dxa"/>
        <w:tblInd w:w="0" w:type="dxa"/>
        <w:tblLayout w:type="autofit"/>
        <w:tblCellMar>
          <w:top w:w="0" w:type="dxa"/>
          <w:left w:w="108" w:type="dxa"/>
          <w:bottom w:w="0" w:type="dxa"/>
          <w:right w:w="108" w:type="dxa"/>
        </w:tblCellMar>
      </w:tblPr>
      <w:tblGrid>
        <w:gridCol w:w="624"/>
        <w:gridCol w:w="1247"/>
        <w:gridCol w:w="1247"/>
        <w:gridCol w:w="6633"/>
      </w:tblGrid>
      <w:tr>
        <w:tblPrEx>
          <w:tblCellMar>
            <w:top w:w="0" w:type="dxa"/>
            <w:left w:w="108" w:type="dxa"/>
            <w:bottom w:w="0" w:type="dxa"/>
            <w:right w:w="108" w:type="dxa"/>
          </w:tblCellMar>
        </w:tblPrEx>
        <w:trPr>
          <w:trHeight w:val="687" w:hRule="atLeast"/>
        </w:trPr>
        <w:tc>
          <w:tcPr>
            <w:tcW w:w="9751" w:type="dxa"/>
            <w:gridSpan w:val="4"/>
            <w:tcBorders>
              <w:top w:val="nil"/>
              <w:left w:val="nil"/>
              <w:bottom w:val="single" w:color="auto" w:sz="4" w:space="0"/>
              <w:right w:val="nil"/>
            </w:tcBorders>
            <w:shd w:val="clear" w:color="auto" w:fill="auto"/>
            <w:vAlign w:val="bottom"/>
          </w:tcPr>
          <w:p>
            <w:pPr>
              <w:jc w:val="center"/>
              <w:rPr>
                <w:rFonts w:hint="eastAsia" w:ascii="宋体" w:hAnsi="宋体" w:cs="宋体"/>
                <w:b/>
                <w:bCs/>
                <w:kern w:val="0"/>
                <w:sz w:val="32"/>
                <w:szCs w:val="28"/>
              </w:rPr>
            </w:pPr>
          </w:p>
          <w:p>
            <w:pPr>
              <w:jc w:val="center"/>
              <w:rPr>
                <w:rFonts w:ascii="宋体" w:hAnsi="宋体" w:cs="宋体"/>
                <w:b/>
                <w:bCs/>
                <w:kern w:val="0"/>
                <w:sz w:val="32"/>
                <w:szCs w:val="28"/>
              </w:rPr>
            </w:pPr>
            <w:r>
              <w:rPr>
                <w:rFonts w:hint="eastAsia" w:ascii="宋体" w:hAnsi="宋体" w:cs="宋体"/>
                <w:b/>
                <w:bCs/>
                <w:kern w:val="0"/>
                <w:sz w:val="32"/>
                <w:szCs w:val="28"/>
              </w:rPr>
              <w:t>202</w:t>
            </w:r>
            <w:r>
              <w:rPr>
                <w:rFonts w:ascii="宋体" w:hAnsi="宋体" w:cs="宋体"/>
                <w:b/>
                <w:bCs/>
                <w:kern w:val="0"/>
                <w:sz w:val="32"/>
                <w:szCs w:val="28"/>
              </w:rPr>
              <w:t>3</w:t>
            </w:r>
            <w:r>
              <w:rPr>
                <w:rFonts w:hint="eastAsia" w:ascii="宋体" w:hAnsi="宋体" w:cs="宋体"/>
                <w:b/>
                <w:bCs/>
                <w:kern w:val="0"/>
                <w:sz w:val="32"/>
                <w:szCs w:val="28"/>
              </w:rPr>
              <w:t>年度河北省在读研究生创新资助项目拟推荐名单</w:t>
            </w:r>
          </w:p>
          <w:p>
            <w:pPr>
              <w:widowControl/>
              <w:jc w:val="center"/>
              <w:rPr>
                <w:rFonts w:ascii="Courier New" w:hAnsi="Courier New" w:cs="宋体"/>
                <w:b/>
                <w:bCs/>
                <w:kern w:val="0"/>
                <w:sz w:val="20"/>
                <w:szCs w:val="20"/>
              </w:rPr>
            </w:pPr>
          </w:p>
        </w:tc>
      </w:tr>
      <w:tr>
        <w:tblPrEx>
          <w:tblCellMar>
            <w:top w:w="0" w:type="dxa"/>
            <w:left w:w="108" w:type="dxa"/>
            <w:bottom w:w="0" w:type="dxa"/>
            <w:right w:w="108" w:type="dxa"/>
          </w:tblCellMar>
        </w:tblPrEx>
        <w:trPr>
          <w:trHeight w:val="473" w:hRule="atLeast"/>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ourier New" w:hAnsi="Courier New" w:cs="宋体"/>
                <w:b/>
                <w:bCs/>
                <w:kern w:val="0"/>
                <w:sz w:val="20"/>
                <w:szCs w:val="20"/>
              </w:rPr>
            </w:pPr>
            <w:r>
              <w:rPr>
                <w:rFonts w:hint="eastAsia" w:ascii="Courier New" w:hAnsi="Courier New" w:cs="宋体"/>
                <w:b/>
                <w:bCs/>
                <w:kern w:val="0"/>
                <w:sz w:val="20"/>
                <w:szCs w:val="20"/>
              </w:rPr>
              <w:t>序号</w:t>
            </w:r>
          </w:p>
        </w:tc>
        <w:tc>
          <w:tcPr>
            <w:tcW w:w="12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ourier New" w:hAnsi="Courier New" w:cs="宋体"/>
                <w:b/>
                <w:bCs/>
                <w:kern w:val="0"/>
                <w:sz w:val="20"/>
                <w:szCs w:val="20"/>
              </w:rPr>
            </w:pPr>
            <w:r>
              <w:rPr>
                <w:rFonts w:ascii="Courier New" w:hAnsi="Courier New" w:cs="宋体"/>
                <w:b/>
                <w:bCs/>
                <w:kern w:val="0"/>
                <w:sz w:val="20"/>
                <w:szCs w:val="20"/>
              </w:rPr>
              <w:t>申请者姓名</w:t>
            </w:r>
          </w:p>
        </w:tc>
        <w:tc>
          <w:tcPr>
            <w:tcW w:w="12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ourier New" w:hAnsi="Courier New" w:cs="宋体"/>
                <w:b/>
                <w:bCs/>
                <w:kern w:val="0"/>
                <w:sz w:val="20"/>
                <w:szCs w:val="20"/>
              </w:rPr>
            </w:pPr>
            <w:r>
              <w:rPr>
                <w:rFonts w:ascii="Courier New" w:hAnsi="Courier New" w:cs="宋体"/>
                <w:b/>
                <w:bCs/>
                <w:kern w:val="0"/>
                <w:sz w:val="20"/>
                <w:szCs w:val="20"/>
              </w:rPr>
              <w:t>研究生类型</w:t>
            </w:r>
          </w:p>
        </w:tc>
        <w:tc>
          <w:tcPr>
            <w:tcW w:w="6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ourier New" w:hAnsi="Courier New" w:cs="宋体"/>
                <w:b/>
                <w:bCs/>
                <w:kern w:val="0"/>
                <w:sz w:val="20"/>
                <w:szCs w:val="20"/>
              </w:rPr>
            </w:pPr>
            <w:r>
              <w:rPr>
                <w:rFonts w:ascii="Courier New" w:hAnsi="Courier New" w:cs="宋体"/>
                <w:b/>
                <w:bCs/>
                <w:kern w:val="0"/>
                <w:sz w:val="20"/>
                <w:szCs w:val="20"/>
              </w:rPr>
              <w:t>项目名称</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color w:val="000000"/>
                <w:kern w:val="0"/>
                <w:sz w:val="20"/>
                <w:szCs w:val="20"/>
              </w:rPr>
              <w:t>1</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陈美静</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催乳素影响绒山羊公羊精子质量的分子机制研究</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color w:val="000000"/>
                <w:kern w:val="0"/>
                <w:sz w:val="20"/>
                <w:szCs w:val="20"/>
              </w:rPr>
              <w:t>2</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黄晨轩</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乳酸杆菌通过肠-脑轴调控 5-HT 信号缓解蛋鸡啄羽行为的分子机制</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3</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张艳阳</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kern w:val="0"/>
                <w:sz w:val="20"/>
                <w:szCs w:val="20"/>
              </w:rPr>
              <w:t>小麦脱落酸受体基因TaPYL4介导植株抗旱分子机制研究</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4</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陈聪聪</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玉米DELLA基因ZmGRAS11调控氮营养吸收和利用的分子机制</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5</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张垚</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烟草脆裂病毒诱导的枣VIGS体系创建</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6</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李延柏</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高致病性禽流感 H5N8 假病毒体系的构建与优化</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7</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刘若冰</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牛乳过敏原α-乳白蛋白适配体的筛选、识别机制及应用</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8</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王鑫昕</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基于适配体裁剪和模块融合的过敏原 β-LG 生物传感器的构建</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9</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王朋飞</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桃果实中ABA合成的分子调控机制研究</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10</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杜培华</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多巴胺对连作苹果氮素吸收利用的调控研究</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1</w:t>
            </w:r>
            <w:r>
              <w:rPr>
                <w:color w:val="000000"/>
                <w:kern w:val="0"/>
                <w:sz w:val="20"/>
                <w:szCs w:val="20"/>
              </w:rPr>
              <w:t>1</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范玉靖</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基于异养硝化-好氧反硝化的AME-D功能菌群构建机理研究</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1</w:t>
            </w:r>
            <w:r>
              <w:rPr>
                <w:color w:val="000000"/>
                <w:kern w:val="0"/>
                <w:sz w:val="20"/>
                <w:szCs w:val="20"/>
              </w:rPr>
              <w:t>2</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王珊珊</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应用锇酸蒸汽染色和同步辐射X射线扫描识别土壤中粪污颗粒的技术研究</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1</w:t>
            </w:r>
            <w:r>
              <w:rPr>
                <w:color w:val="000000"/>
                <w:kern w:val="0"/>
                <w:sz w:val="20"/>
                <w:szCs w:val="20"/>
              </w:rPr>
              <w:t>3</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王颖</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小麦关键生育期镉转运对籽粒镉富集的调控机制研究</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1</w:t>
            </w:r>
            <w:r>
              <w:rPr>
                <w:color w:val="000000"/>
                <w:kern w:val="0"/>
                <w:sz w:val="20"/>
                <w:szCs w:val="20"/>
              </w:rPr>
              <w:t>4</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刘曼迪</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新型鹅细小病毒强弱毒感染性克隆构建与病毒拯救</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15</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刘俊俊</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大蒜素对断奶应激诱导的腹泻犊牛肠道紧密连接损伤的保护机制研究</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16</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孙素素</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基于转酮醇酶的新型吡唑类除草活性分子设计合成</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17</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张茹悦</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基于低覆盖全基因组的草蛉科昆虫系统地位探究</w:t>
            </w:r>
          </w:p>
        </w:tc>
      </w:tr>
      <w:tr>
        <w:tblPrEx>
          <w:tblCellMar>
            <w:top w:w="0" w:type="dxa"/>
            <w:left w:w="108" w:type="dxa"/>
            <w:bottom w:w="0" w:type="dxa"/>
            <w:right w:w="108" w:type="dxa"/>
          </w:tblCellMar>
        </w:tblPrEx>
        <w:trPr>
          <w:trHeight w:val="304"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18</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刘丽星</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基于RTK-BDS的果园多功能作业平台电控系统研究</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19</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张君</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基于无人机多光谱成像的白菜数字化育种表型性状高通量获取研究</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20</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kern w:val="0"/>
                <w:sz w:val="20"/>
                <w:szCs w:val="20"/>
              </w:rPr>
              <w:t>高一丹</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蔬菜流通模式对河北省菜农安全生产行为和收入的影响研究</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21</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晁楠</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农村中小银行金融科技、经济绩效与社会绩效关系研究</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22</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靳亚红</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基于天-空遥感技术的土壤水盐精准监测与预报研究</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23</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王雪菲</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博士研究生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基于微生物组和代谢组联合分析的光肩星天牛适应北京杨的机制研究</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color w:val="000000"/>
                <w:kern w:val="0"/>
                <w:sz w:val="20"/>
                <w:szCs w:val="20"/>
              </w:rPr>
              <w:t>24</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kern w:val="0"/>
                <w:sz w:val="20"/>
                <w:szCs w:val="20"/>
              </w:rPr>
              <w:t>李洁</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制备磁性超交联聚合物用于富集谷物中的四种黄曲霉毒素</w:t>
            </w:r>
          </w:p>
        </w:tc>
      </w:tr>
      <w:tr>
        <w:tblPrEx>
          <w:tblCellMar>
            <w:top w:w="0" w:type="dxa"/>
            <w:left w:w="108" w:type="dxa"/>
            <w:bottom w:w="0" w:type="dxa"/>
            <w:right w:w="108" w:type="dxa"/>
          </w:tblCellMar>
        </w:tblPrEx>
        <w:trPr>
          <w:trHeight w:val="266" w:hRule="atLeast"/>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2</w:t>
            </w:r>
            <w:r>
              <w:rPr>
                <w:color w:val="000000"/>
                <w:kern w:val="0"/>
                <w:sz w:val="20"/>
                <w:szCs w:val="20"/>
              </w:rPr>
              <w:t>5</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李玉静</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硕士研究生</w:t>
            </w:r>
          </w:p>
        </w:tc>
        <w:tc>
          <w:tcPr>
            <w:tcW w:w="6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网络文明视域下高校“三全育人”路径研究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624" w:type="dxa"/>
            <w:tcBorders>
              <w:top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2</w:t>
            </w:r>
            <w:r>
              <w:rPr>
                <w:color w:val="000000"/>
                <w:kern w:val="0"/>
                <w:sz w:val="20"/>
                <w:szCs w:val="20"/>
              </w:rPr>
              <w:t>6</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李辉</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硕士研究生</w:t>
            </w:r>
          </w:p>
        </w:tc>
        <w:tc>
          <w:tcPr>
            <w:tcW w:w="6633" w:type="dxa"/>
            <w:tcBorders>
              <w:top w:val="single" w:color="auto" w:sz="4" w:space="0"/>
              <w:left w:val="single" w:color="auto" w:sz="4" w:space="0"/>
              <w:bottom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基于文本分类的暴力犯罪心理归因分析研究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24" w:type="dxa"/>
            <w:tcBorders>
              <w:top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2</w:t>
            </w:r>
            <w:r>
              <w:rPr>
                <w:color w:val="000000"/>
                <w:kern w:val="0"/>
                <w:sz w:val="20"/>
                <w:szCs w:val="20"/>
              </w:rPr>
              <w:t>7</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王永胜</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硕士研究生</w:t>
            </w:r>
          </w:p>
        </w:tc>
        <w:tc>
          <w:tcPr>
            <w:tcW w:w="6633" w:type="dxa"/>
            <w:tcBorders>
              <w:top w:val="single" w:color="auto" w:sz="4" w:space="0"/>
              <w:left w:val="single" w:color="auto" w:sz="4" w:space="0"/>
              <w:bottom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复杂环境下蛋鸡个体识别与计数研究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4" w:type="dxa"/>
            <w:tcBorders>
              <w:top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2</w:t>
            </w:r>
            <w:r>
              <w:rPr>
                <w:color w:val="000000"/>
                <w:kern w:val="0"/>
                <w:sz w:val="20"/>
                <w:szCs w:val="20"/>
              </w:rPr>
              <w:t>8</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刘兆庸</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硕士研究生</w:t>
            </w:r>
          </w:p>
        </w:tc>
        <w:tc>
          <w:tcPr>
            <w:tcW w:w="6633" w:type="dxa"/>
            <w:tcBorders>
              <w:top w:val="single" w:color="auto" w:sz="4" w:space="0"/>
              <w:left w:val="single" w:color="auto" w:sz="4" w:space="0"/>
              <w:bottom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新型杀虫剂的创制及其在蜂业生产中的作用机制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24" w:type="dxa"/>
            <w:tcBorders>
              <w:top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2</w:t>
            </w:r>
            <w:r>
              <w:rPr>
                <w:color w:val="000000"/>
                <w:kern w:val="0"/>
                <w:sz w:val="20"/>
                <w:szCs w:val="20"/>
              </w:rPr>
              <w:t>9</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kern w:val="0"/>
                <w:sz w:val="20"/>
                <w:szCs w:val="20"/>
              </w:rPr>
              <w:t>蔡敏</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硕士研究生</w:t>
            </w:r>
          </w:p>
        </w:tc>
        <w:tc>
          <w:tcPr>
            <w:tcW w:w="6633" w:type="dxa"/>
            <w:tcBorders>
              <w:top w:val="single" w:color="auto" w:sz="4" w:space="0"/>
              <w:left w:val="single" w:color="auto" w:sz="4" w:space="0"/>
              <w:bottom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农业国际化背景下全球特色蔬菜产业信息监测与编译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24" w:type="dxa"/>
            <w:tcBorders>
              <w:top w:val="single" w:color="auto" w:sz="4" w:space="0"/>
              <w:right w:val="single" w:color="auto" w:sz="4" w:space="0"/>
            </w:tcBorders>
            <w:vAlign w:val="center"/>
          </w:tcPr>
          <w:p>
            <w:pPr>
              <w:widowControl/>
              <w:jc w:val="center"/>
              <w:rPr>
                <w:color w:val="000000"/>
                <w:kern w:val="0"/>
                <w:sz w:val="20"/>
                <w:szCs w:val="20"/>
              </w:rPr>
            </w:pPr>
            <w:r>
              <w:rPr>
                <w:rFonts w:hint="eastAsia"/>
                <w:color w:val="000000"/>
                <w:kern w:val="0"/>
                <w:sz w:val="20"/>
                <w:szCs w:val="20"/>
              </w:rPr>
              <w:t>3</w:t>
            </w:r>
            <w:r>
              <w:rPr>
                <w:color w:val="000000"/>
                <w:kern w:val="0"/>
                <w:sz w:val="20"/>
                <w:szCs w:val="20"/>
              </w:rPr>
              <w:t>0</w:t>
            </w:r>
          </w:p>
        </w:tc>
        <w:tc>
          <w:tcPr>
            <w:tcW w:w="1247" w:type="dxa"/>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李金凤</w:t>
            </w:r>
          </w:p>
        </w:tc>
        <w:tc>
          <w:tcPr>
            <w:tcW w:w="1247" w:type="dxa"/>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硕士研究生</w:t>
            </w:r>
          </w:p>
        </w:tc>
        <w:tc>
          <w:tcPr>
            <w:tcW w:w="6633" w:type="dxa"/>
            <w:tcBorders>
              <w:top w:val="single" w:color="auto" w:sz="4" w:space="0"/>
              <w:lef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河北省野生报春花植物繁育特性的探究及杂交亲和性基因的挖掘</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1YzRjYWEwYmVkMzYyY2Q0OGEwYWM0ZjAwZTA1MWQifQ=="/>
  </w:docVars>
  <w:rsids>
    <w:rsidRoot w:val="75E32BA3"/>
    <w:rsid w:val="75E32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2022-07-15T07:24:00Z</dcterms:created>
  <dc:creator>羊羊羊</dc:creator>
  <cp:lastModifiedBy>羊羊羊</cp:lastModifiedBy>
  <dcterms:modified xsi:type="dcterms:W3CDTF">2022-07-15T07:24:49Z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0415076346B349EDA833A460247EBF74</vt:lpwstr>
  </property>
</Properties>
</file>